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Tre bandi di inizio 2020 della Regione Campania pubblicati sul Bollettino del 3 gennaio finalizzati ad aiuti alle piccole e medie imprese artigiane, a quelle commerciali e alle imprese operanti nel commercio ambulante. Segno distintivo è di sostenere programmi di spese finalizzati a renderle più competitive, attraverso l’adozione di soluzioni innovative, il miglioramento delle strategie commerciali, il rafforzamento dei sistemi di gestione e infine l’ampliamento della rete commerciale e della sua offerta.</w:t>
      </w:r>
    </w:p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I FONDI DISPONIBILI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– L’ammontare delle risorse destinate al finanziamento delle </w:t>
      </w:r>
      <w:proofErr w:type="spellStart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pmi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commerciali e per le imprese artigiane è pari a</w:t>
      </w: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 10 Milioni di euro (per ogni singolo bando)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provenienti dal Fondo PMI e dal Fondo </w:t>
      </w:r>
      <w:proofErr w:type="spellStart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Jeremie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. Per le microimprese operanti nel </w:t>
      </w: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settore ambulante sono invece disponibili 5 milioni di euro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provenienti dal Fondo </w:t>
      </w:r>
      <w:proofErr w:type="spellStart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Jeremie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.</w:t>
      </w:r>
    </w:p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CUMULO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– Le agevolazioni previste in questi tre bandi non sono cumulabili con altri aiuti pubblici concessi per le medesime spese, incluse le agevolazioni concesse sulla base del Regolamento “de </w:t>
      </w:r>
      <w:proofErr w:type="spellStart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minimis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”, ovvero con altri benefici anche fiscali laddove riferiti alle stesse spese ammissibili.</w:t>
      </w:r>
    </w:p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MODALITA’ </w:t>
      </w:r>
      <w:proofErr w:type="spellStart"/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</w:t>
      </w:r>
      <w:proofErr w:type="spellEnd"/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 PRESENTAZIONE DELLE </w:t>
      </w:r>
      <w:proofErr w:type="spellStart"/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DOMANDA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–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L’avviso sarà visionabile sul sito della Regione Campania, di Sviluppo Campania ed al link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http://sid2017.sviluppocampania.it.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 xml:space="preserve">Pena l’esclusione, le domande di agevolazione dovranno essere compilate on </w:t>
      </w:r>
      <w:proofErr w:type="spellStart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line</w:t>
      </w:r>
      <w:proofErr w:type="spellEnd"/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, accedendo, previa registrazione, al sito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http://sid2017.sviluppocampania.it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 xml:space="preserve">e inviate mediante procedura telematica. </w:t>
      </w:r>
      <w:r w:rsidRPr="00756161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Sarà possibile presentare domanda dalle ore 13:00 del 03.02.2020 alle ore 13:00 del 04.03.2020.</w:t>
      </w: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Il termine ultimo del 04.03.2020 potrà essere anticipato alla data in cui saranno presentate richieste di contributi pari al 150% della dotazione finanziaria disponibile, dandone informativa sul sito di Sviluppo Campania e della Regione Campania.</w:t>
      </w:r>
    </w:p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Dal 10 gennaio 2020 sarà resa disponibile sui siti della Regione Campania e di Sviluppo Campania spa la modulistica per la presentazione delle istanze. Dal 16 gennaio 2020 all’indirizzo http://sid2017.sviluppocampania.it sarà possibile iniziare la registrazione nel sistema e la successiva compilazione della modulistica. Il modulo di domanda, compilato tassativamente in ciascuna delle parti di cui si compone, deve essere firmato digitalmente dal legale rappresentante dell’impresa richiedente il contributo.</w:t>
      </w:r>
    </w:p>
    <w:p w:rsidR="00756161" w:rsidRPr="00756161" w:rsidRDefault="00756161" w:rsidP="007561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hyperlink r:id="rId4" w:history="1">
        <w:r w:rsidRPr="00756161">
          <w:rPr>
            <w:rFonts w:ascii="Arial" w:eastAsia="Times New Roman" w:hAnsi="Arial" w:cs="Arial"/>
            <w:color w:val="ED1C24"/>
            <w:sz w:val="21"/>
            <w:szCs w:val="21"/>
            <w:lang w:eastAsia="it-IT"/>
          </w:rPr>
          <w:t>IL BANDO PER LE IMPRESE ARTIGIANE </w:t>
        </w:r>
      </w:hyperlink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5" w:history="1">
        <w:r w:rsidRPr="00756161">
          <w:rPr>
            <w:rFonts w:ascii="Arial" w:eastAsia="Times New Roman" w:hAnsi="Arial" w:cs="Arial"/>
            <w:color w:val="ED1C24"/>
            <w:sz w:val="21"/>
            <w:szCs w:val="21"/>
            <w:lang w:eastAsia="it-IT"/>
          </w:rPr>
          <w:t>IL BANDO PER LE IMPRESE COMMERCIALI </w:t>
        </w:r>
      </w:hyperlink>
      <w:r w:rsidRPr="00756161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6" w:history="1">
        <w:r w:rsidRPr="00756161">
          <w:rPr>
            <w:rFonts w:ascii="Arial" w:eastAsia="Times New Roman" w:hAnsi="Arial" w:cs="Arial"/>
            <w:color w:val="ED1C24"/>
            <w:sz w:val="21"/>
            <w:szCs w:val="21"/>
            <w:lang w:eastAsia="it-IT"/>
          </w:rPr>
          <w:t>IL BANDO PER GLI ARTIGIANI </w:t>
        </w:r>
      </w:hyperlink>
    </w:p>
    <w:p w:rsidR="00756161" w:rsidRPr="00756161" w:rsidRDefault="00756161" w:rsidP="00756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7C7C7C"/>
          <w:sz w:val="21"/>
          <w:szCs w:val="21"/>
          <w:lang w:eastAsia="it-IT"/>
        </w:rPr>
        <w:drawing>
          <wp:inline distT="0" distB="0" distL="0" distR="0">
            <wp:extent cx="952500" cy="952500"/>
            <wp:effectExtent l="19050" t="0" r="0" b="0"/>
            <wp:docPr id="1" name="Immagine 1" descr="http://2.gravatar.com/avatar/589d20cf2397ba8006ab758ff10974f4?s=100&amp;d=mm&amp;r=g">
              <a:hlinkClick xmlns:a="http://schemas.openxmlformats.org/drawingml/2006/main" r:id="rId7" tooltip="&quot;AnciCampa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ravatar.com/avatar/589d20cf2397ba8006ab758ff10974f4?s=100&amp;d=mm&amp;r=g">
                      <a:hlinkClick r:id="rId7" tooltip="&quot;AnciCampa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63" w:rsidRDefault="00652A63"/>
    <w:sectPr w:rsidR="00652A63" w:rsidSect="00652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756161"/>
    <w:rsid w:val="00652A63"/>
    <w:rsid w:val="007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6161"/>
    <w:rPr>
      <w:b/>
      <w:bCs/>
      <w:color w:val="000000"/>
    </w:rPr>
  </w:style>
  <w:style w:type="paragraph" w:styleId="NormaleWeb">
    <w:name w:val="Normal (Web)"/>
    <w:basedOn w:val="Normale"/>
    <w:uiPriority w:val="99"/>
    <w:semiHidden/>
    <w:unhideWhenUsed/>
    <w:rsid w:val="0075616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8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ncicampania.it/author/ancicamp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icampania.it/wp-content/uploads/2020/01/AVVISO_AMBULANTI_30_12_2019_DEF_PER_BURC_BANDI_DI_GARA.pdf" TargetMode="External"/><Relationship Id="rId5" Type="http://schemas.openxmlformats.org/officeDocument/2006/relationships/hyperlink" Target="http://www.ancicampania.it/wp-content/uploads/2020/01/AVVISO_COMMERCIO_30_12_2019_DEF_PER_BURC_BANDI_DI_GAR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cicampania.it/wp-content/uploads/2020/01/AVVISO_ARTIGIANI_30_12_2019_DEF_PER_BURC_BANDI_DI_GAR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2020-01-16T21:34:00Z</dcterms:created>
  <dcterms:modified xsi:type="dcterms:W3CDTF">2020-01-16T21:35:00Z</dcterms:modified>
</cp:coreProperties>
</file>